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ind w:firstLine="5670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eastAsia="en-US"/>
        </w:rPr>
        <w:t xml:space="preserve">УТВЕРЖДЕНА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44"/>
        <w:ind w:firstLine="5670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eastAsia="en-US"/>
        </w:rPr>
        <w:t xml:space="preserve">приказом </w:t>
      </w:r>
      <w:r>
        <w:rPr>
          <w:bCs/>
          <w:sz w:val="28"/>
          <w:szCs w:val="28"/>
          <w:highlight w:val="none"/>
          <w:lang w:eastAsia="en-US"/>
        </w:rPr>
        <w:t xml:space="preserve">Министерства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44"/>
        <w:ind w:firstLine="5670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eastAsia="en-US"/>
        </w:rPr>
        <w:t xml:space="preserve">образования области 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44"/>
        <w:ind w:firstLine="5670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eastAsia="en-US"/>
        </w:rPr>
        <w:t xml:space="preserve">от </w:t>
      </w:r>
      <w:r>
        <w:rPr>
          <w:bCs/>
          <w:sz w:val="28"/>
          <w:szCs w:val="28"/>
          <w:highlight w:val="none"/>
          <w:lang w:eastAsia="en-US"/>
        </w:rPr>
        <w:t xml:space="preserve">___________</w:t>
      </w:r>
      <w:r>
        <w:rPr>
          <w:bCs/>
          <w:sz w:val="28"/>
          <w:szCs w:val="28"/>
          <w:highlight w:val="none"/>
        </w:rPr>
        <w:t xml:space="preserve"> 202</w:t>
      </w:r>
      <w:r>
        <w:rPr>
          <w:bCs/>
          <w:sz w:val="28"/>
          <w:szCs w:val="28"/>
          <w:highlight w:val="none"/>
        </w:rPr>
        <w:t xml:space="preserve">5</w:t>
      </w:r>
      <w:r>
        <w:rPr>
          <w:bCs/>
          <w:sz w:val="28"/>
          <w:szCs w:val="28"/>
          <w:highlight w:val="none"/>
        </w:rPr>
        <w:t xml:space="preserve"> года № </w:t>
      </w:r>
      <w:r>
        <w:rPr>
          <w:bCs/>
          <w:sz w:val="28"/>
          <w:szCs w:val="28"/>
          <w:highlight w:val="none"/>
        </w:rPr>
        <w:t xml:space="preserve">____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44"/>
        <w:ind w:firstLine="5670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(приложение </w:t>
      </w:r>
      <w:r>
        <w:rPr>
          <w:bCs/>
          <w:sz w:val="28"/>
          <w:szCs w:val="28"/>
          <w:highlight w:val="none"/>
        </w:rPr>
        <w:t xml:space="preserve">6</w:t>
      </w:r>
      <w:r>
        <w:rPr>
          <w:bCs/>
          <w:sz w:val="28"/>
          <w:szCs w:val="28"/>
          <w:highlight w:val="none"/>
        </w:rPr>
        <w:t xml:space="preserve">)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50"/>
        <w:ind w:left="5220"/>
        <w:jc w:val="right"/>
        <w:tabs>
          <w:tab w:val="left" w:pos="1820" w:leader="none"/>
        </w:tabs>
        <w:rPr>
          <w:b w:val="0"/>
          <w:highlight w:val="yellow"/>
        </w:rPr>
        <w:outlineLvl w:val="0"/>
      </w:pPr>
      <w:r>
        <w:rPr>
          <w:b w:val="0"/>
          <w:highlight w:val="yellow"/>
        </w:rPr>
      </w:r>
      <w:r>
        <w:rPr>
          <w:b w:val="0"/>
          <w:highlight w:val="yellow"/>
        </w:rPr>
      </w:r>
      <w:r>
        <w:rPr>
          <w:b w:val="0"/>
          <w:highlight w:val="yellow"/>
        </w:rPr>
      </w:r>
    </w:p>
    <w:p>
      <w:pPr>
        <w:pStyle w:val="850"/>
        <w:tabs>
          <w:tab w:val="left" w:pos="1820" w:leader="none"/>
        </w:tabs>
        <w:rPr>
          <w:b w:val="0"/>
          <w:szCs w:val="28"/>
          <w:highlight w:val="yellow"/>
        </w:rPr>
        <w:outlineLvl w:val="0"/>
      </w:pPr>
      <w:r>
        <w:rPr>
          <w:b w:val="0"/>
          <w:highlight w:val="none"/>
        </w:rPr>
        <w:t xml:space="preserve">Памятка о</w:t>
      </w:r>
      <w:r>
        <w:rPr>
          <w:b w:val="0"/>
          <w:highlight w:val="none"/>
        </w:rPr>
        <w:t xml:space="preserve"> порядке проведения итогового сочинения (изложения)</w:t>
        <w:br w:type="textWrapping" w:clear="all"/>
        <w:t xml:space="preserve">(для ознакомления обучающихся и их родителей (законных представителей)</w:t>
      </w:r>
      <w:r>
        <w:rPr>
          <w:b w:val="0"/>
          <w:highlight w:val="yellow"/>
        </w:rPr>
        <w:br w:type="textWrapping" w:clear="all"/>
      </w:r>
      <w:r>
        <w:rPr>
          <w:b w:val="0"/>
          <w:szCs w:val="28"/>
          <w:highlight w:val="yellow"/>
        </w:rPr>
      </w:r>
      <w:r>
        <w:rPr>
          <w:b w:val="0"/>
          <w:szCs w:val="28"/>
          <w:highlight w:val="yellow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</w:t>
      </w:r>
      <w:r>
        <w:rPr>
          <w:sz w:val="28"/>
          <w:szCs w:val="28"/>
          <w:highlight w:val="none"/>
        </w:rPr>
        <w:t xml:space="preserve">ГИА) проводится для обучающихся XI (XII) классов</w:t>
      </w:r>
      <w:r>
        <w:rPr>
          <w:sz w:val="28"/>
          <w:szCs w:val="28"/>
          <w:highlight w:val="none"/>
        </w:rPr>
        <w:t xml:space="preserve">, экстернов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Изложение вправе писать следующие категории лиц: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ind w:firstLine="720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 обучающиеся с ограниче</w:t>
      </w:r>
      <w:r>
        <w:rPr>
          <w:sz w:val="28"/>
          <w:szCs w:val="28"/>
          <w:highlight w:val="none"/>
        </w:rPr>
        <w:t xml:space="preserve">нными возможностями здоровья, </w:t>
      </w:r>
      <w:r>
        <w:rPr>
          <w:sz w:val="28"/>
          <w:szCs w:val="28"/>
          <w:highlight w:val="none"/>
        </w:rPr>
        <w:t xml:space="preserve">экстерны с ограниченными возможностями здоровья, </w:t>
      </w:r>
      <w:r>
        <w:rPr>
          <w:sz w:val="28"/>
          <w:szCs w:val="28"/>
          <w:highlight w:val="none"/>
        </w:rPr>
        <w:t xml:space="preserve">обучающиеся</w:t>
      </w:r>
      <w:r>
        <w:rPr>
          <w:sz w:val="28"/>
          <w:szCs w:val="28"/>
          <w:highlight w:val="none"/>
        </w:rPr>
        <w:t xml:space="preserve"> – </w:t>
      </w:r>
      <w:r>
        <w:rPr>
          <w:sz w:val="28"/>
          <w:szCs w:val="28"/>
          <w:highlight w:val="none"/>
        </w:rPr>
        <w:t xml:space="preserve">дети-инвалиды и инвалиды</w:t>
      </w:r>
      <w:r>
        <w:rPr>
          <w:sz w:val="28"/>
          <w:szCs w:val="28"/>
          <w:highlight w:val="none"/>
        </w:rPr>
        <w:t xml:space="preserve">, экстерны – дети-инвалиды и инвалиды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 обучающиеся 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none"/>
        </w:rPr>
        <w:t xml:space="preserve">в специальных учебно-воспитательных учреждениях закрытого типа, а также в учреждениях, исполняющих наказание в виде лишения свободы;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 </w:t>
      </w:r>
      <w:r>
        <w:rPr>
          <w:sz w:val="28"/>
          <w:szCs w:val="28"/>
          <w:highlight w:val="none"/>
        </w:rPr>
        <w:t xml:space="preserve">лица, </w:t>
      </w:r>
      <w:r>
        <w:rPr>
          <w:sz w:val="28"/>
          <w:szCs w:val="28"/>
          <w:highlight w:val="none"/>
        </w:rPr>
        <w:t xml:space="preserve">обучающиеся</w:t>
      </w:r>
      <w:r>
        <w:rPr>
          <w:sz w:val="28"/>
          <w:szCs w:val="28"/>
          <w:highlight w:val="none"/>
        </w:rPr>
        <w:t xml:space="preserve"> по состоянию здоровья</w:t>
      </w:r>
      <w:r>
        <w:rPr>
          <w:sz w:val="28"/>
          <w:szCs w:val="28"/>
          <w:highlight w:val="none"/>
        </w:rPr>
        <w:t xml:space="preserve">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Итоговое сочинение (изложение) пр</w:t>
      </w:r>
      <w:r>
        <w:rPr>
          <w:sz w:val="28"/>
          <w:szCs w:val="28"/>
          <w:highlight w:val="none"/>
        </w:rPr>
        <w:t xml:space="preserve">оводится в первую среду декабря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последнего года обучения.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Обучающиеся для участия в итоговом сочине</w:t>
      </w:r>
      <w:r>
        <w:rPr>
          <w:sz w:val="28"/>
          <w:szCs w:val="28"/>
          <w:highlight w:val="none"/>
        </w:rPr>
        <w:t xml:space="preserve">нии (изложении) подают заявления </w:t>
      </w:r>
      <w:r>
        <w:rPr>
          <w:sz w:val="28"/>
          <w:szCs w:val="28"/>
          <w:highlight w:val="none"/>
        </w:rPr>
        <w:t xml:space="preserve">не позднее чем за две недели до начала проведения итогового сочинения (изложения) в свою школу</w:t>
      </w:r>
      <w:r>
        <w:rPr>
          <w:sz w:val="28"/>
          <w:szCs w:val="28"/>
          <w:highlight w:val="none"/>
        </w:rPr>
        <w:t xml:space="preserve">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Итоговое сочинение (изложение) проводится в местах проведения итогового сочинения (изложения), определенных </w:t>
      </w:r>
      <w:r>
        <w:rPr>
          <w:sz w:val="28"/>
          <w:szCs w:val="28"/>
          <w:highlight w:val="none"/>
        </w:rPr>
        <w:t xml:space="preserve">Министерством </w:t>
      </w:r>
      <w:r>
        <w:rPr>
          <w:sz w:val="28"/>
          <w:szCs w:val="28"/>
          <w:highlight w:val="none"/>
        </w:rPr>
        <w:t xml:space="preserve">образования Вологодской области (далее – Министерством образования области).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Министерство </w:t>
      </w:r>
      <w:r>
        <w:rPr>
          <w:sz w:val="28"/>
          <w:szCs w:val="28"/>
          <w:highlight w:val="none"/>
        </w:rPr>
        <w:t xml:space="preserve">образования области определяет порядок проведения </w:t>
      </w:r>
      <w:r>
        <w:rPr>
          <w:sz w:val="28"/>
          <w:szCs w:val="28"/>
          <w:highlight w:val="none"/>
        </w:rPr>
        <w:t xml:space="preserve">и порядок проверки </w:t>
      </w:r>
      <w:r>
        <w:rPr>
          <w:sz w:val="28"/>
          <w:szCs w:val="28"/>
          <w:highlight w:val="none"/>
        </w:rPr>
        <w:t xml:space="preserve">итогового сочинения (изложения) на территории Вологодской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еста проведения итогового сочинения (изложения) оборудуются стационарными и (или) переносными металлоискател</w:t>
      </w:r>
      <w:r>
        <w:rPr>
          <w:sz w:val="28"/>
          <w:szCs w:val="28"/>
          <w:highlight w:val="none"/>
        </w:rPr>
        <w:t xml:space="preserve">ями, средствами видеонаблюдения.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Итоговое сочине</w:t>
      </w:r>
      <w:r>
        <w:rPr>
          <w:sz w:val="28"/>
          <w:szCs w:val="28"/>
          <w:highlight w:val="none"/>
        </w:rPr>
        <w:t xml:space="preserve">ние (изложение) начинается в 10 часов </w:t>
      </w:r>
      <w:r>
        <w:rPr>
          <w:sz w:val="28"/>
          <w:szCs w:val="28"/>
          <w:highlight w:val="none"/>
        </w:rPr>
        <w:t xml:space="preserve">00 </w:t>
      </w:r>
      <w:r>
        <w:rPr>
          <w:sz w:val="28"/>
          <w:szCs w:val="28"/>
          <w:highlight w:val="none"/>
        </w:rPr>
        <w:t xml:space="preserve">минут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</w:t>
      </w:r>
      <w:r>
        <w:rPr>
          <w:sz w:val="28"/>
          <w:szCs w:val="28"/>
          <w:highlight w:val="none"/>
        </w:rPr>
        <w:t xml:space="preserve">, зафиксированное на доске (информационном стенде) членами комиссии по проведению итогового сочинения (изложения), </w:t>
      </w:r>
      <w:r>
        <w:rPr>
          <w:sz w:val="28"/>
          <w:szCs w:val="28"/>
          <w:highlight w:val="none"/>
        </w:rPr>
        <w:t xml:space="preserve">не продлевается. </w:t>
      </w:r>
      <w:r>
        <w:rPr>
          <w:sz w:val="28"/>
          <w:szCs w:val="28"/>
          <w:highlight w:val="none"/>
        </w:rPr>
        <w:t xml:space="preserve">Повторный общий инструктаж для опоздавших участников не проводится</w:t>
      </w:r>
      <w:r>
        <w:rPr>
          <w:sz w:val="28"/>
          <w:szCs w:val="28"/>
          <w:highlight w:val="none"/>
        </w:rPr>
        <w:t xml:space="preserve"> (за исключением, когда в учебном кабинете нет других участников итогового сочинения (изложения)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Члены комиссии по проведению </w:t>
      </w:r>
      <w:r>
        <w:rPr>
          <w:sz w:val="28"/>
          <w:szCs w:val="28"/>
          <w:highlight w:val="none"/>
        </w:rPr>
        <w:t xml:space="preserve">итогового </w:t>
      </w:r>
      <w:r>
        <w:rPr>
          <w:sz w:val="28"/>
          <w:szCs w:val="28"/>
          <w:highlight w:val="none"/>
        </w:rPr>
        <w:t xml:space="preserve">сочинения (изложения) </w:t>
      </w:r>
      <w:r>
        <w:rPr>
          <w:sz w:val="28"/>
          <w:szCs w:val="28"/>
          <w:highlight w:val="none"/>
        </w:rPr>
        <w:t xml:space="preserve">предоставляют необходимую информацию для заполнения регистрационных полей бланков </w:t>
      </w:r>
      <w:r>
        <w:rPr>
          <w:sz w:val="28"/>
          <w:szCs w:val="28"/>
          <w:highlight w:val="none"/>
        </w:rPr>
        <w:t xml:space="preserve">итогового </w:t>
      </w:r>
      <w:r>
        <w:rPr>
          <w:sz w:val="28"/>
          <w:szCs w:val="28"/>
          <w:highlight w:val="none"/>
        </w:rPr>
        <w:t xml:space="preserve">сочинения (изложения). Рекомендуем не опаздывать на проведение итогового сочинения (изложения).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Вход участников итогового сочинения (изложения) в место проведения итогового сочине</w:t>
      </w:r>
      <w:r>
        <w:rPr>
          <w:sz w:val="28"/>
          <w:szCs w:val="28"/>
          <w:highlight w:val="none"/>
        </w:rPr>
        <w:t xml:space="preserve">ния (изложения) начинается с 09 часов </w:t>
      </w:r>
      <w:r>
        <w:rPr>
          <w:sz w:val="28"/>
          <w:szCs w:val="28"/>
          <w:highlight w:val="none"/>
        </w:rPr>
        <w:t xml:space="preserve">00 </w:t>
      </w:r>
      <w:r>
        <w:rPr>
          <w:sz w:val="28"/>
          <w:szCs w:val="28"/>
          <w:highlight w:val="none"/>
        </w:rPr>
        <w:t xml:space="preserve">минут</w:t>
      </w:r>
      <w:r>
        <w:rPr>
          <w:sz w:val="28"/>
          <w:szCs w:val="28"/>
          <w:highlight w:val="none"/>
        </w:rPr>
        <w:t xml:space="preserve">. При себе необходимо иметь документ, удостоверяющий личность.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Рекомендуется взять с собой на</w:t>
      </w:r>
      <w:r>
        <w:rPr>
          <w:sz w:val="28"/>
          <w:szCs w:val="28"/>
          <w:highlight w:val="none"/>
        </w:rPr>
        <w:t xml:space="preserve"> итоговое </w:t>
      </w:r>
      <w:r>
        <w:rPr>
          <w:sz w:val="28"/>
          <w:szCs w:val="28"/>
          <w:highlight w:val="none"/>
        </w:rPr>
        <w:t xml:space="preserve">сочинение (изложение) только необходимые вещи: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5"/>
        </w:numPr>
        <w:contextualSpacing/>
        <w:ind w:left="0" w:firstLine="709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документ, удостоверяющий личность;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5"/>
        </w:numPr>
        <w:contextualSpacing/>
        <w:ind w:left="0" w:firstLine="709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ручку (гелевую или капиллярную</w:t>
      </w:r>
      <w:r>
        <w:rPr>
          <w:sz w:val="28"/>
          <w:szCs w:val="28"/>
          <w:highlight w:val="none"/>
        </w:rPr>
        <w:t xml:space="preserve"> с чернилами черного цвета);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5"/>
        </w:numPr>
        <w:contextualSpacing/>
        <w:ind w:left="0" w:firstLine="709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лекарства (при необходимости);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5"/>
        </w:numPr>
        <w:contextualSpacing/>
        <w:ind w:left="0" w:firstLine="709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продукты питания для дополнительного приема пищи (переку</w:t>
      </w:r>
      <w:r>
        <w:rPr>
          <w:sz w:val="28"/>
          <w:szCs w:val="28"/>
          <w:highlight w:val="none"/>
        </w:rPr>
        <w:t xml:space="preserve">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5"/>
        </w:numPr>
        <w:contextualSpacing/>
        <w:ind w:left="0" w:firstLine="709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Иные личные вещи участники </w:t>
      </w:r>
      <w:r>
        <w:rPr>
          <w:sz w:val="28"/>
          <w:szCs w:val="28"/>
          <w:highlight w:val="none"/>
        </w:rPr>
        <w:t xml:space="preserve">итогового сочинения (изложения) </w:t>
      </w:r>
      <w:r>
        <w:rPr>
          <w:sz w:val="28"/>
          <w:szCs w:val="28"/>
          <w:highlight w:val="none"/>
        </w:rPr>
        <w:t xml:space="preserve">обязаны оставить в специально выделенном месте для хранения личных вещей участников.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Во время проведения итогового сочинения (изложения) </w:t>
      </w:r>
      <w:r>
        <w:rPr>
          <w:sz w:val="28"/>
          <w:szCs w:val="28"/>
          <w:highlight w:val="none"/>
        </w:rPr>
        <w:t xml:space="preserve">участникам итогового сочинения (изложения)</w:t>
      </w:r>
      <w:r>
        <w:rPr>
          <w:sz w:val="28"/>
          <w:szCs w:val="28"/>
          <w:highlight w:val="none"/>
        </w:rPr>
        <w:t xml:space="preserve"> выдадут </w:t>
      </w:r>
      <w:r>
        <w:rPr>
          <w:sz w:val="28"/>
          <w:szCs w:val="28"/>
          <w:highlight w:val="none"/>
        </w:rPr>
        <w:t xml:space="preserve">черновик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бланки итогового сочинения (изложения),</w:t>
      </w:r>
      <w:r>
        <w:rPr>
          <w:sz w:val="28"/>
          <w:szCs w:val="28"/>
          <w:highlight w:val="none"/>
        </w:rPr>
        <w:t xml:space="preserve"> а также орфографический словарь для участников итогового сочинения (орфографический и толковый словари для у</w:t>
      </w:r>
      <w:r>
        <w:rPr>
          <w:sz w:val="28"/>
          <w:szCs w:val="28"/>
          <w:highlight w:val="none"/>
        </w:rPr>
        <w:t xml:space="preserve">частников итогового изложения).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Внимание! </w:t>
      </w:r>
      <w:r>
        <w:rPr>
          <w:sz w:val="28"/>
          <w:szCs w:val="28"/>
          <w:highlight w:val="none"/>
        </w:rPr>
        <w:t xml:space="preserve">Черновики </w:t>
      </w:r>
      <w:r>
        <w:rPr>
          <w:sz w:val="28"/>
          <w:szCs w:val="28"/>
          <w:highlight w:val="none"/>
        </w:rPr>
        <w:t xml:space="preserve">не проверяются и записи в них не учитываются при проверке.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Темы итогового сочинения становятся общедоступными за 15 минут до начала проведения </w:t>
      </w:r>
      <w:r>
        <w:rPr>
          <w:sz w:val="28"/>
          <w:szCs w:val="28"/>
          <w:highlight w:val="none"/>
        </w:rPr>
        <w:t xml:space="preserve">итогового </w:t>
      </w:r>
      <w:r>
        <w:rPr>
          <w:sz w:val="28"/>
          <w:szCs w:val="28"/>
          <w:highlight w:val="none"/>
        </w:rPr>
        <w:t xml:space="preserve">сочинения. Тексты</w:t>
      </w:r>
      <w:r>
        <w:rPr>
          <w:sz w:val="28"/>
          <w:szCs w:val="28"/>
          <w:highlight w:val="none"/>
        </w:rPr>
        <w:t xml:space="preserve"> для </w:t>
      </w:r>
      <w:r>
        <w:rPr>
          <w:sz w:val="28"/>
          <w:szCs w:val="28"/>
          <w:highlight w:val="none"/>
        </w:rPr>
        <w:t xml:space="preserve">итогового </w:t>
      </w:r>
      <w:r>
        <w:rPr>
          <w:sz w:val="28"/>
          <w:szCs w:val="28"/>
          <w:highlight w:val="none"/>
        </w:rPr>
        <w:t xml:space="preserve">изложения </w:t>
      </w:r>
      <w:r>
        <w:rPr>
          <w:sz w:val="28"/>
          <w:szCs w:val="28"/>
          <w:highlight w:val="none"/>
        </w:rPr>
        <w:t xml:space="preserve">размещаются </w:t>
      </w:r>
      <w:r>
        <w:rPr>
          <w:sz w:val="28"/>
          <w:szCs w:val="28"/>
          <w:highlight w:val="none"/>
        </w:rPr>
        <w:t xml:space="preserve">региональным центром обработки информации</w:t>
      </w:r>
      <w:r>
        <w:rPr>
          <w:sz w:val="28"/>
          <w:szCs w:val="28"/>
          <w:highlight w:val="none"/>
        </w:rPr>
        <w:t xml:space="preserve"> в информационной системе «Государственная итоговая аттестация» в день проведения итогового </w:t>
      </w:r>
      <w:r>
        <w:rPr>
          <w:sz w:val="28"/>
          <w:szCs w:val="28"/>
          <w:highlight w:val="none"/>
        </w:rPr>
        <w:t xml:space="preserve">изложения</w:t>
      </w:r>
      <w:r>
        <w:rPr>
          <w:sz w:val="28"/>
          <w:szCs w:val="28"/>
          <w:highlight w:val="none"/>
        </w:rPr>
        <w:t xml:space="preserve"> и выдаются участникам итогового изложения в день проведения итогового изложения не ранее 10 часов 00 минут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Продолжительность выполнения итогового соч</w:t>
      </w:r>
      <w:r>
        <w:rPr>
          <w:sz w:val="28"/>
          <w:szCs w:val="28"/>
          <w:highlight w:val="none"/>
        </w:rPr>
        <w:t xml:space="preserve">инения (изложения) составляет </w:t>
      </w:r>
      <w:r>
        <w:rPr>
          <w:sz w:val="28"/>
          <w:szCs w:val="28"/>
          <w:highlight w:val="none"/>
        </w:rPr>
        <w:t xml:space="preserve">3 часа 55 минут (235 минут).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Для участников итогового сочинения (изложения) с ограниченными возможностями здоровья, </w:t>
      </w:r>
      <w:r>
        <w:rPr>
          <w:sz w:val="28"/>
          <w:szCs w:val="28"/>
          <w:highlight w:val="none"/>
        </w:rPr>
        <w:t xml:space="preserve">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</w:t>
      </w:r>
      <w:r>
        <w:rPr>
          <w:sz w:val="28"/>
          <w:szCs w:val="28"/>
          <w:highlight w:val="none"/>
        </w:rPr>
        <w:t xml:space="preserve">детей-инвалидов и инвалидов</w:t>
      </w:r>
      <w:r>
        <w:rPr>
          <w:sz w:val="28"/>
          <w:szCs w:val="28"/>
          <w:highlight w:val="none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>
        <w:rPr>
          <w:sz w:val="28"/>
          <w:szCs w:val="28"/>
          <w:highlight w:val="none"/>
        </w:rPr>
        <w:t xml:space="preserve"> продолжительность выполнения итогового сочинения (изложения) увеличивается на 1,5 часа.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Министерством образования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Для участников итогового сочинения (изложения) с ограниченными </w:t>
      </w:r>
      <w:r>
        <w:rPr>
          <w:sz w:val="28"/>
          <w:szCs w:val="28"/>
          <w:highlight w:val="none"/>
        </w:rPr>
        <w:t xml:space="preserve">возможностями здоровья, </w:t>
      </w:r>
      <w:r>
        <w:rPr>
          <w:sz w:val="28"/>
          <w:szCs w:val="28"/>
          <w:highlight w:val="none"/>
        </w:rPr>
        <w:t xml:space="preserve">участников итогового сочинения (изложения)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Во время проведения итогового сочинения (изложения) участникам итогового сочинения (изложения) запрещ</w:t>
      </w:r>
      <w:r>
        <w:rPr>
          <w:sz w:val="28"/>
          <w:szCs w:val="28"/>
          <w:highlight w:val="none"/>
        </w:rPr>
        <w:t xml:space="preserve">ается</w:t>
      </w:r>
      <w:r>
        <w:rPr>
          <w:sz w:val="28"/>
          <w:szCs w:val="28"/>
          <w:highlight w:val="none"/>
        </w:rPr>
        <w:t xml:space="preserve"> иметь при себе средства связи, фото</w:t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, аудио</w:t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и видеоаппаратуру, справочные материал</w:t>
      </w:r>
      <w:r>
        <w:rPr>
          <w:sz w:val="28"/>
          <w:szCs w:val="28"/>
          <w:highlight w:val="none"/>
        </w:rPr>
        <w:t xml:space="preserve">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</w:t>
      </w:r>
      <w:r>
        <w:rPr>
          <w:sz w:val="28"/>
          <w:szCs w:val="28"/>
          <w:highlight w:val="none"/>
        </w:rPr>
        <w:t xml:space="preserve">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  <w:r>
        <w:rPr>
          <w:sz w:val="28"/>
          <w:szCs w:val="28"/>
          <w:highlight w:val="none"/>
        </w:rPr>
        <w:t xml:space="preserve">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</w:t>
      </w:r>
      <w:r>
        <w:rPr>
          <w:sz w:val="28"/>
          <w:szCs w:val="28"/>
          <w:highlight w:val="none"/>
        </w:rPr>
        <w:t xml:space="preserve">даты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>
        <w:rPr>
          <w:sz w:val="28"/>
          <w:szCs w:val="28"/>
          <w:highlight w:val="none"/>
        </w:rPr>
        <w:t xml:space="preserve">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</w:t>
      </w:r>
      <w:r>
        <w:rPr>
          <w:sz w:val="28"/>
          <w:szCs w:val="28"/>
          <w:highlight w:val="none"/>
        </w:rPr>
        <w:t xml:space="preserve">даты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</w:t>
      </w:r>
      <w:r>
        <w:rPr>
          <w:sz w:val="28"/>
          <w:szCs w:val="28"/>
          <w:highlight w:val="none"/>
        </w:rPr>
        <w:t xml:space="preserve">и), черновик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и покидают место проведения итогового сочинения (изложения), не дожидаясь установленного времени завершения итогового сочинен</w:t>
      </w:r>
      <w:r>
        <w:rPr>
          <w:sz w:val="28"/>
          <w:szCs w:val="28"/>
          <w:highlight w:val="none"/>
        </w:rPr>
        <w:t xml:space="preserve">ия (изложения).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6"/>
        </w:numPr>
        <w:contextualSpacing/>
        <w:ind w:left="142" w:firstLine="567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обучающиеся и экстерны, получившие по итоговому сочинению (изложению) неудовлетворительный результат («незачет»);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6"/>
        </w:numPr>
        <w:contextualSpacing/>
        <w:ind w:left="142" w:firstLine="567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 </w:t>
      </w:r>
      <w:r>
        <w:rPr>
          <w:color w:val="000000"/>
          <w:sz w:val="28"/>
          <w:szCs w:val="28"/>
          <w:highlight w:val="none"/>
        </w:rPr>
        <w:t xml:space="preserve">проведения государственной итоговой аттестации по образовательным программам среднего общего образования, утвержденного </w:t>
      </w:r>
      <w:r>
        <w:rPr>
          <w:sz w:val="28"/>
          <w:szCs w:val="28"/>
          <w:highlight w:val="none"/>
        </w:rPr>
        <w:t xml:space="preserve">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>
        <w:rPr>
          <w:sz w:val="28"/>
          <w:szCs w:val="28"/>
          <w:highlight w:val="none"/>
        </w:rPr>
        <w:t xml:space="preserve"> (далее – Порядок проведения ГИА)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6"/>
        </w:numPr>
        <w:contextualSpacing/>
        <w:ind w:left="142" w:firstLine="567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обучающ</w:t>
      </w:r>
      <w:r>
        <w:rPr>
          <w:sz w:val="28"/>
          <w:szCs w:val="28"/>
          <w:highlight w:val="none"/>
        </w:rPr>
        <w:t xml:space="preserve">иеся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</w:t>
      </w:r>
      <w:r>
        <w:rPr>
          <w:sz w:val="28"/>
          <w:szCs w:val="28"/>
          <w:highlight w:val="none"/>
        </w:rPr>
        <w:t xml:space="preserve">экстерны</w:t>
      </w:r>
      <w:r>
        <w:rPr>
          <w:sz w:val="28"/>
          <w:szCs w:val="28"/>
          <w:highlight w:val="none"/>
        </w:rPr>
        <w:t xml:space="preserve">, не явившиеся на итоговое сочинение </w:t>
      </w:r>
      <w:r>
        <w:rPr>
          <w:sz w:val="28"/>
          <w:szCs w:val="28"/>
          <w:highlight w:val="none"/>
        </w:rPr>
        <w:t xml:space="preserve">(изложение) по уважительным причинам (болезнь или иные обстоятельства), подтвержденным документально;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6"/>
        </w:numPr>
        <w:contextualSpacing/>
        <w:ind w:left="142" w:firstLine="567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Обучающиеся и экстерны, полу</w:t>
      </w:r>
      <w:r>
        <w:rPr>
          <w:sz w:val="28"/>
          <w:szCs w:val="28"/>
          <w:highlight w:val="none"/>
        </w:rPr>
        <w:t xml:space="preserve">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 проведения ГИА.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целях предотвращения конфликта интересов и обеспечения объективного оценивания итогового сочинения (изложения) обучающимся</w:t>
      </w:r>
      <w:r>
        <w:rPr>
          <w:sz w:val="28"/>
          <w:szCs w:val="28"/>
          <w:highlight w:val="none"/>
        </w:rPr>
        <w:t xml:space="preserve">, экстернам</w:t>
      </w:r>
      <w:r>
        <w:rPr>
          <w:sz w:val="28"/>
          <w:szCs w:val="28"/>
          <w:highlight w:val="none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</w:t>
      </w:r>
      <w:r>
        <w:rPr>
          <w:sz w:val="28"/>
          <w:szCs w:val="28"/>
          <w:highlight w:val="none"/>
        </w:rPr>
        <w:t xml:space="preserve">е заявление на проверку написанного</w:t>
      </w:r>
      <w:r>
        <w:rPr>
          <w:sz w:val="28"/>
          <w:szCs w:val="28"/>
          <w:highlight w:val="none"/>
        </w:rPr>
        <w:t xml:space="preserve"> ими итогового сочинения (изложения) комиссией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повторной </w:t>
      </w:r>
      <w:r>
        <w:rPr>
          <w:sz w:val="28"/>
          <w:szCs w:val="28"/>
          <w:highlight w:val="none"/>
        </w:rPr>
        <w:t xml:space="preserve">проверк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итогового сочинения (изложения), </w:t>
      </w:r>
      <w:r>
        <w:rPr>
          <w:sz w:val="28"/>
          <w:szCs w:val="28"/>
          <w:highlight w:val="none"/>
        </w:rPr>
        <w:t xml:space="preserve">созданной</w:t>
      </w:r>
      <w:r>
        <w:rPr>
          <w:sz w:val="28"/>
          <w:szCs w:val="28"/>
          <w:highlight w:val="none"/>
        </w:rPr>
        <w:t xml:space="preserve"> Министерством образования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Министерство образования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Итоговое сочинение (изложение) как допуск к ГИА – бессроч</w:t>
      </w:r>
      <w:r>
        <w:rPr>
          <w:sz w:val="28"/>
          <w:szCs w:val="28"/>
          <w:highlight w:val="none"/>
        </w:rPr>
        <w:t xml:space="preserve">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contextualSpacing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ind w:left="-15" w:right="172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 правилами проведения итогового сочинения (изложения) ознакомлен (-а):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spacing w:after="26" w:line="259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ind w:left="-15" w:right="172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Участник итогового сочинения (изложения)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ind w:left="-15" w:right="172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___________________(_____________________) «___»_______20__г.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ind w:firstLine="708"/>
        <w:spacing w:after="24" w:line="259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подпись </w:t>
        <w:tab/>
        <w:tab/>
        <w:t xml:space="preserve">       расшифровка подписи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44"/>
        <w:spacing w:after="24" w:line="259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ind w:left="-15" w:right="172"/>
        <w:spacing w:line="252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Родитель/законный представитель участника итогового сочинения (изложения) ___________________(_____________________) «___»_______20__г.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ind w:firstLine="708"/>
        <w:spacing w:after="24" w:line="259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подпись </w:t>
        <w:tab/>
        <w:tab/>
        <w:t xml:space="preserve">       расшифровка подписи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103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" w:hanging="288"/>
      </w:pPr>
      <w:rPr>
        <w:rFonts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566" w:hanging="281"/>
        <w:jc w:val="right"/>
      </w:pPr>
      <w:rPr>
        <w:rFonts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114" w:hanging="336"/>
      </w:pPr>
      <w:rPr>
        <w:rFonts w:ascii="Times New Roman" w:hAnsi="Times New Roman" w:eastAsia="Times New Roman" w:cs="Times New Roman"/>
        <w:b/>
        <w:bCs/>
        <w:sz w:val="26"/>
        <w:szCs w:val="26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28" w:hanging="33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62" w:hanging="33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96" w:hanging="33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30" w:hanging="33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64" w:hanging="33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98" w:hanging="336"/>
      </w:pPr>
      <w:rPr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rPr>
      <w:rFonts w:eastAsia="Calibri"/>
      <w:sz w:val="24"/>
      <w:szCs w:val="24"/>
      <w:lang w:val="ru-RU" w:eastAsia="ru-RU" w:bidi="ar-SA"/>
    </w:rPr>
  </w:style>
  <w:style w:type="paragraph" w:styleId="845">
    <w:name w:val="Заголовок 2"/>
    <w:basedOn w:val="844"/>
    <w:next w:val="844"/>
    <w:link w:val="849"/>
    <w:qFormat/>
    <w:pPr>
      <w:keepLines/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846">
    <w:name w:val="Основной шрифт абзаца"/>
    <w:next w:val="846"/>
    <w:link w:val="844"/>
    <w:semiHidden/>
  </w:style>
  <w:style w:type="table" w:styleId="847">
    <w:name w:val="Обычная таблица"/>
    <w:next w:val="847"/>
    <w:link w:val="844"/>
    <w:semiHidden/>
    <w:tblPr/>
  </w:style>
  <w:style w:type="numbering" w:styleId="848">
    <w:name w:val="Нет списка"/>
    <w:next w:val="848"/>
    <w:link w:val="844"/>
    <w:semiHidden/>
  </w:style>
  <w:style w:type="character" w:styleId="849">
    <w:name w:val="Заголовок 2 Знак"/>
    <w:next w:val="849"/>
    <w:link w:val="845"/>
    <w:rPr>
      <w:rFonts w:ascii="Cambria" w:hAnsi="Cambria" w:eastAsia="Calibri"/>
      <w:b/>
      <w:bCs/>
      <w:color w:val="4f81bd"/>
      <w:sz w:val="26"/>
      <w:szCs w:val="26"/>
      <w:lang w:val="ru-RU" w:eastAsia="ru-RU" w:bidi="ar-SA"/>
    </w:rPr>
  </w:style>
  <w:style w:type="paragraph" w:styleId="850">
    <w:name w:val="Название"/>
    <w:basedOn w:val="844"/>
    <w:next w:val="850"/>
    <w:link w:val="851"/>
    <w:qFormat/>
    <w:pPr>
      <w:jc w:val="center"/>
    </w:pPr>
    <w:rPr>
      <w:rFonts w:eastAsia="Times New Roman"/>
      <w:b/>
      <w:sz w:val="28"/>
      <w:szCs w:val="20"/>
    </w:rPr>
  </w:style>
  <w:style w:type="character" w:styleId="851">
    <w:name w:val="Название Знак"/>
    <w:next w:val="851"/>
    <w:link w:val="850"/>
    <w:rPr>
      <w:b/>
      <w:sz w:val="28"/>
      <w:lang w:val="ru-RU" w:eastAsia="ru-RU" w:bidi="ar-SA"/>
    </w:rPr>
  </w:style>
  <w:style w:type="character" w:styleId="852">
    <w:name w:val="Знак сноски"/>
    <w:next w:val="852"/>
    <w:link w:val="844"/>
    <w:rPr>
      <w:vertAlign w:val="superscript"/>
    </w:rPr>
  </w:style>
  <w:style w:type="paragraph" w:styleId="853">
    <w:name w:val="Абзац списка"/>
    <w:basedOn w:val="844"/>
    <w:next w:val="853"/>
    <w:link w:val="844"/>
    <w:uiPriority w:val="1"/>
    <w:qFormat/>
    <w:pPr>
      <w:ind w:left="212" w:firstLine="708"/>
      <w:jc w:val="both"/>
      <w:widowControl w:val="off"/>
    </w:pPr>
    <w:rPr>
      <w:rFonts w:eastAsia="Times New Roman"/>
      <w:sz w:val="22"/>
      <w:szCs w:val="22"/>
      <w:lang w:eastAsia="en-US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.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akorotkova</dc:creator>
  <cp:lastModifiedBy>vdanilova</cp:lastModifiedBy>
  <cp:revision>109</cp:revision>
  <dcterms:created xsi:type="dcterms:W3CDTF">2018-12-04T07:00:00Z</dcterms:created>
  <dcterms:modified xsi:type="dcterms:W3CDTF">2025-10-29T05:53:11Z</dcterms:modified>
  <cp:version>917504</cp:version>
</cp:coreProperties>
</file>